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CF" w:rsidRPr="00614487" w:rsidRDefault="00614487" w:rsidP="00B61DCF">
      <w:pPr>
        <w:pStyle w:val="LO-normal"/>
        <w:widowControl w:val="0"/>
        <w:spacing w:before="94" w:line="240" w:lineRule="auto"/>
        <w:ind w:hanging="2"/>
        <w:jc w:val="center"/>
        <w:rPr>
          <w:b/>
          <w:color w:val="FF0000"/>
          <w:sz w:val="20"/>
          <w:szCs w:val="20"/>
        </w:rPr>
      </w:pPr>
      <w:r w:rsidRPr="00614487">
        <w:rPr>
          <w:b/>
          <w:color w:val="FF0000"/>
          <w:sz w:val="20"/>
          <w:szCs w:val="20"/>
        </w:rPr>
        <w:t>NOUVELLES</w:t>
      </w:r>
      <w:r w:rsidR="00B61DCF" w:rsidRPr="00614487">
        <w:rPr>
          <w:b/>
          <w:color w:val="FF0000"/>
          <w:sz w:val="20"/>
          <w:szCs w:val="20"/>
        </w:rPr>
        <w:t xml:space="preserve"> INFORMATIONS POUR LES COMPETITIONS</w:t>
      </w:r>
      <w:r>
        <w:rPr>
          <w:b/>
          <w:color w:val="FF0000"/>
          <w:sz w:val="20"/>
          <w:szCs w:val="20"/>
        </w:rPr>
        <w:t xml:space="preserve"> PROMOTIONS</w:t>
      </w:r>
    </w:p>
    <w:p w:rsidR="00B61DCF" w:rsidRDefault="00B61DCF" w:rsidP="00B61DCF">
      <w:pPr>
        <w:pStyle w:val="LO-normal"/>
        <w:widowControl w:val="0"/>
        <w:spacing w:before="94" w:line="240" w:lineRule="auto"/>
        <w:ind w:hanging="2"/>
        <w:jc w:val="center"/>
        <w:rPr>
          <w:b/>
          <w:color w:val="00AEEF"/>
          <w:sz w:val="20"/>
          <w:szCs w:val="20"/>
        </w:rPr>
      </w:pPr>
    </w:p>
    <w:p w:rsidR="00B61DCF" w:rsidRPr="00614487" w:rsidRDefault="00B61DCF" w:rsidP="00B61DCF">
      <w:pPr>
        <w:pStyle w:val="LO-normal"/>
        <w:widowControl w:val="0"/>
        <w:spacing w:before="94" w:line="240" w:lineRule="auto"/>
        <w:ind w:hanging="2"/>
        <w:jc w:val="center"/>
        <w:rPr>
          <w:b/>
          <w:color w:val="FF0000"/>
          <w:sz w:val="20"/>
          <w:szCs w:val="20"/>
        </w:rPr>
      </w:pPr>
      <w:r w:rsidRPr="00614487">
        <w:rPr>
          <w:b/>
          <w:color w:val="FF0000"/>
          <w:sz w:val="20"/>
          <w:szCs w:val="20"/>
        </w:rPr>
        <w:t>Suite à une modification du RNC 2021</w:t>
      </w:r>
      <w:r w:rsidR="00614487">
        <w:rPr>
          <w:b/>
          <w:color w:val="FF0000"/>
          <w:sz w:val="20"/>
          <w:szCs w:val="20"/>
        </w:rPr>
        <w:t xml:space="preserve"> du 11 janvier 2022</w:t>
      </w:r>
      <w:r w:rsidR="00614487" w:rsidRPr="00614487">
        <w:rPr>
          <w:b/>
          <w:color w:val="FF0000"/>
          <w:sz w:val="20"/>
          <w:szCs w:val="20"/>
        </w:rPr>
        <w:t xml:space="preserve"> pour les </w:t>
      </w:r>
      <w:r w:rsidR="00614487">
        <w:rPr>
          <w:b/>
          <w:color w:val="FF0000"/>
          <w:sz w:val="20"/>
          <w:szCs w:val="20"/>
        </w:rPr>
        <w:t>PROMOTIONS</w:t>
      </w:r>
    </w:p>
    <w:p w:rsidR="00B61DCF" w:rsidRDefault="00B61DCF" w:rsidP="00B61DCF">
      <w:pPr>
        <w:pStyle w:val="LO-normal"/>
        <w:widowControl w:val="0"/>
        <w:spacing w:before="94" w:line="240" w:lineRule="auto"/>
        <w:ind w:hanging="2"/>
        <w:jc w:val="center"/>
        <w:rPr>
          <w:b/>
          <w:color w:val="00AEEF"/>
          <w:sz w:val="20"/>
          <w:szCs w:val="20"/>
        </w:rPr>
      </w:pPr>
    </w:p>
    <w:p w:rsidR="00B61DCF" w:rsidRDefault="00B61DCF" w:rsidP="00B61DCF">
      <w:pPr>
        <w:pStyle w:val="LO-normal"/>
        <w:widowControl w:val="0"/>
        <w:spacing w:before="8" w:line="240" w:lineRule="auto"/>
        <w:ind w:hanging="2"/>
        <w:rPr>
          <w:sz w:val="17"/>
          <w:szCs w:val="17"/>
        </w:rPr>
      </w:pPr>
    </w:p>
    <w:p w:rsidR="00B61DCF" w:rsidRPr="00614487" w:rsidRDefault="00614487" w:rsidP="00614487">
      <w:pPr>
        <w:pStyle w:val="Titre3"/>
        <w:keepNext w:val="0"/>
        <w:keepLines w:val="0"/>
        <w:widowControl w:val="0"/>
        <w:spacing w:before="0" w:after="0"/>
        <w:ind w:hanging="2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Changements applicables à partir du 11 janvier 2022</w:t>
      </w:r>
    </w:p>
    <w:p w:rsidR="00B61DCF" w:rsidRDefault="00B61DCF" w:rsidP="00B61DCF">
      <w:pPr>
        <w:pStyle w:val="Titre3"/>
        <w:keepNext w:val="0"/>
        <w:keepLines w:val="0"/>
        <w:widowControl w:val="0"/>
        <w:spacing w:before="0" w:after="0"/>
        <w:ind w:hanging="2"/>
        <w:rPr>
          <w:color w:val="231F20"/>
          <w:sz w:val="16"/>
          <w:szCs w:val="16"/>
        </w:rPr>
      </w:pPr>
    </w:p>
    <w:p w:rsidR="00221ADA" w:rsidRDefault="00221ADA" w:rsidP="00B61DCF">
      <w:pPr>
        <w:pStyle w:val="LO-normal"/>
        <w:widowControl w:val="0"/>
        <w:tabs>
          <w:tab w:val="left" w:pos="228"/>
        </w:tabs>
        <w:spacing w:before="8" w:line="240" w:lineRule="auto"/>
        <w:ind w:hanging="2"/>
        <w:rPr>
          <w:rFonts w:ascii="Century Schoolbook" w:hAnsi="Century Schoolbook"/>
          <w:color w:val="222222"/>
        </w:rPr>
      </w:pPr>
    </w:p>
    <w:p w:rsidR="009C131C" w:rsidRDefault="00614487" w:rsidP="00B61DCF">
      <w:pPr>
        <w:pStyle w:val="LO-normal"/>
        <w:widowControl w:val="0"/>
        <w:tabs>
          <w:tab w:val="left" w:pos="228"/>
        </w:tabs>
        <w:spacing w:before="8" w:line="240" w:lineRule="auto"/>
        <w:ind w:hanging="2"/>
        <w:rPr>
          <w:rFonts w:ascii="Century Schoolbook" w:hAnsi="Century Schoolbook"/>
          <w:color w:val="222222"/>
          <w:shd w:val="clear" w:color="auto" w:fill="FFFFFF"/>
        </w:rPr>
      </w:pPr>
      <w:bookmarkStart w:id="0" w:name="_GoBack"/>
      <w:bookmarkEnd w:id="0"/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  <w:shd w:val="clear" w:color="auto" w:fill="FFFFFF"/>
        </w:rPr>
        <w:t xml:space="preserve">Article 15 – </w:t>
      </w:r>
      <w:r w:rsidRPr="000D0B50">
        <w:rPr>
          <w:rFonts w:ascii="Century Schoolbook" w:hAnsi="Century Schoolbook"/>
          <w:color w:val="FF0000"/>
          <w:shd w:val="clear" w:color="auto" w:fill="FFFFFF"/>
        </w:rPr>
        <w:t>Par paires</w:t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  <w:shd w:val="clear" w:color="auto" w:fill="FFFFFF"/>
        </w:rPr>
        <w:t>    Pour la division Promotion, les compétitions ouvertes aux joueurs et joueuses licenciés à la FFB nouveaux licenciés, classés en 4ème série, en 3ème série ou en 2ème série HQ ou en 2ème série Trèfle à l’exclusion de ceux antérieurement classés en 1ère série ou en 2ème série Majeure. </w:t>
      </w:r>
    </w:p>
    <w:p w:rsidR="000D0B50" w:rsidRDefault="00614487" w:rsidP="00B61DCF">
      <w:pPr>
        <w:pStyle w:val="LO-normal"/>
        <w:widowControl w:val="0"/>
        <w:tabs>
          <w:tab w:val="left" w:pos="228"/>
        </w:tabs>
        <w:spacing w:before="8" w:line="240" w:lineRule="auto"/>
        <w:ind w:hanging="2"/>
        <w:rPr>
          <w:rFonts w:ascii="Century Schoolbook" w:hAnsi="Century Schoolbook"/>
          <w:color w:val="222222"/>
          <w:shd w:val="clear" w:color="auto" w:fill="FFFFFF"/>
        </w:rPr>
      </w:pPr>
      <w:r>
        <w:rPr>
          <w:rFonts w:ascii="Century Schoolbook" w:hAnsi="Century Schoolbook"/>
          <w:b/>
          <w:bCs/>
          <w:color w:val="222222"/>
          <w:shd w:val="clear" w:color="auto" w:fill="FFFFFF"/>
        </w:rPr>
        <w:t>Si la paire comprend un joueur classé en 2ème série, son IV ne pourra être supérieur à </w:t>
      </w:r>
      <w:r>
        <w:rPr>
          <w:rFonts w:ascii="Century Schoolbook" w:hAnsi="Century Schoolbook"/>
          <w:b/>
          <w:bCs/>
          <w:color w:val="FF0000"/>
          <w:shd w:val="clear" w:color="auto" w:fill="FFFFFF"/>
        </w:rPr>
        <w:t>80</w:t>
      </w:r>
      <w:r>
        <w:rPr>
          <w:rFonts w:ascii="Century Schoolbook" w:hAnsi="Century Schoolbook"/>
          <w:color w:val="222222"/>
          <w:shd w:val="clear" w:color="auto" w:fill="FFFFFF"/>
        </w:rPr>
        <w:t>.</w:t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  <w:shd w:val="clear" w:color="auto" w:fill="FFFFFF"/>
        </w:rPr>
        <w:t>L'IV max était antérieurement 76 pour les équipes comprenant un joueur 2è série.</w:t>
      </w:r>
    </w:p>
    <w:p w:rsidR="00614487" w:rsidRDefault="00614487" w:rsidP="00B61DCF">
      <w:pPr>
        <w:pStyle w:val="LO-normal"/>
        <w:widowControl w:val="0"/>
        <w:tabs>
          <w:tab w:val="left" w:pos="228"/>
        </w:tabs>
        <w:spacing w:before="8" w:line="240" w:lineRule="auto"/>
        <w:ind w:hanging="2"/>
        <w:rPr>
          <w:rFonts w:ascii="Century Schoolbook" w:hAnsi="Century Schoolbook"/>
          <w:b/>
          <w:bCs/>
          <w:color w:val="222222"/>
          <w:shd w:val="clear" w:color="auto" w:fill="FFFFFF"/>
        </w:rPr>
      </w:pP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  <w:shd w:val="clear" w:color="auto" w:fill="FFFFFF"/>
        </w:rPr>
        <w:t xml:space="preserve"> Article 29 – </w:t>
      </w:r>
      <w:r w:rsidRPr="000D0B50">
        <w:rPr>
          <w:rFonts w:ascii="Century Schoolbook" w:hAnsi="Century Schoolbook"/>
          <w:color w:val="FF0000"/>
          <w:shd w:val="clear" w:color="auto" w:fill="FFFFFF"/>
        </w:rPr>
        <w:t>Par Quatre</w:t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  <w:shd w:val="clear" w:color="auto" w:fill="FFFFFF"/>
        </w:rPr>
        <w:t>     Pour la division Promotion, les compétitions ouvertes aux joueurs et joueuses licenciés à la FFB nouveaux licenciés, classés en 4ème série, en 3ème série, en 2ème série hors quota ou en 2ème série Trèfle à l’exclusion de ceux antérieurement classés en 1ère série ou en 2ème série Majeure.</w:t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b/>
          <w:bCs/>
          <w:color w:val="222222"/>
          <w:shd w:val="clear" w:color="auto" w:fill="FFFFFF"/>
        </w:rPr>
        <w:t> Une équipe peut comprendre au plus, deux joueurs classés en deuxième série mais l’IV de l’équipe ne peut alors être supérieur à </w:t>
      </w:r>
      <w:r>
        <w:rPr>
          <w:rFonts w:ascii="Century Schoolbook" w:hAnsi="Century Schoolbook"/>
          <w:b/>
          <w:bCs/>
          <w:color w:val="FF0000"/>
          <w:shd w:val="clear" w:color="auto" w:fill="FFFFFF"/>
        </w:rPr>
        <w:t>160</w:t>
      </w:r>
      <w:r>
        <w:rPr>
          <w:rFonts w:ascii="Century Schoolbook" w:hAnsi="Century Schoolbook"/>
          <w:b/>
          <w:bCs/>
          <w:color w:val="222222"/>
          <w:shd w:val="clear" w:color="auto" w:fill="FFFFFF"/>
        </w:rPr>
        <w:t>.</w:t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  <w:shd w:val="clear" w:color="auto" w:fill="FFFFFF"/>
        </w:rPr>
        <w:t> L'IV max était antérieurement 152 pour les équipes comprenant un joueur 2è série.</w:t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b/>
          <w:bCs/>
          <w:color w:val="222222"/>
          <w:shd w:val="clear" w:color="auto" w:fill="FFFFFF"/>
        </w:rPr>
        <w:t> </w:t>
      </w:r>
    </w:p>
    <w:p w:rsidR="00614487" w:rsidRDefault="00614487" w:rsidP="00B61DCF">
      <w:pPr>
        <w:pStyle w:val="LO-normal"/>
        <w:widowControl w:val="0"/>
        <w:tabs>
          <w:tab w:val="left" w:pos="228"/>
        </w:tabs>
        <w:spacing w:before="8" w:line="240" w:lineRule="auto"/>
        <w:ind w:hanging="2"/>
        <w:rPr>
          <w:rFonts w:ascii="Century Schoolbook" w:hAnsi="Century Schoolbook"/>
          <w:b/>
          <w:bCs/>
          <w:color w:val="222222"/>
          <w:shd w:val="clear" w:color="auto" w:fill="FFFFFF"/>
        </w:rPr>
      </w:pPr>
    </w:p>
    <w:p w:rsidR="00614487" w:rsidRDefault="00614487" w:rsidP="00B61DCF">
      <w:pPr>
        <w:pStyle w:val="LO-normal"/>
        <w:widowControl w:val="0"/>
        <w:tabs>
          <w:tab w:val="left" w:pos="228"/>
        </w:tabs>
        <w:spacing w:before="8" w:line="240" w:lineRule="auto"/>
        <w:ind w:hanging="2"/>
        <w:rPr>
          <w:rFonts w:ascii="Century Schoolbook" w:hAnsi="Century Schoolbook"/>
          <w:bCs/>
          <w:color w:val="222222"/>
          <w:shd w:val="clear" w:color="auto" w:fill="FFFFFF"/>
        </w:rPr>
      </w:pPr>
      <w:r w:rsidRPr="00614487">
        <w:rPr>
          <w:rFonts w:ascii="Century Schoolbook" w:hAnsi="Century Schoolbook"/>
          <w:bCs/>
          <w:color w:val="222222"/>
          <w:shd w:val="clear" w:color="auto" w:fill="FFFFFF"/>
        </w:rPr>
        <w:t xml:space="preserve">N.B : </w:t>
      </w:r>
      <w:r w:rsidRPr="00614487">
        <w:rPr>
          <w:rFonts w:ascii="Century Schoolbook" w:hAnsi="Century Schoolbook"/>
          <w:bCs/>
          <w:color w:val="222222"/>
          <w:shd w:val="clear" w:color="auto" w:fill="FFFFFF"/>
        </w:rPr>
        <w:t>Cette mesure a été pr</w:t>
      </w:r>
      <w:r>
        <w:rPr>
          <w:rFonts w:ascii="Century Schoolbook" w:hAnsi="Century Schoolbook"/>
          <w:bCs/>
          <w:color w:val="222222"/>
          <w:shd w:val="clear" w:color="auto" w:fill="FFFFFF"/>
        </w:rPr>
        <w:t>ise pour éviter que des paires/</w:t>
      </w:r>
      <w:r w:rsidRPr="00614487">
        <w:rPr>
          <w:rFonts w:ascii="Century Schoolbook" w:hAnsi="Century Schoolbook"/>
          <w:bCs/>
          <w:color w:val="222222"/>
          <w:shd w:val="clear" w:color="auto" w:fill="FFFFFF"/>
        </w:rPr>
        <w:t xml:space="preserve">équipes comprenant un ou deux joueurs 2è série mais d'IV compris entre 154 et 160 se retrouvent empêchée de jouer. </w:t>
      </w:r>
    </w:p>
    <w:p w:rsidR="00B61DCF" w:rsidRDefault="00614487" w:rsidP="00B61DCF">
      <w:pPr>
        <w:pStyle w:val="LO-normal"/>
        <w:widowControl w:val="0"/>
        <w:tabs>
          <w:tab w:val="left" w:pos="228"/>
        </w:tabs>
        <w:spacing w:before="8" w:line="240" w:lineRule="auto"/>
        <w:ind w:hanging="2"/>
        <w:rPr>
          <w:rFonts w:ascii="Century Schoolbook" w:hAnsi="Century Schoolbook"/>
          <w:color w:val="222222"/>
          <w:shd w:val="clear" w:color="auto" w:fill="FFFFFF"/>
        </w:rPr>
      </w:pPr>
      <w:r w:rsidRPr="00614487">
        <w:rPr>
          <w:rFonts w:ascii="Century Schoolbook" w:hAnsi="Century Schoolbook"/>
          <w:bCs/>
          <w:color w:val="222222"/>
          <w:shd w:val="clear" w:color="auto" w:fill="FFFFFF"/>
        </w:rPr>
        <w:t>Son application est immédiate.</w:t>
      </w:r>
      <w:r w:rsidRPr="00614487">
        <w:rPr>
          <w:rFonts w:ascii="Century Schoolbook" w:hAnsi="Century Schoolbook"/>
          <w:color w:val="222222"/>
          <w:shd w:val="clear" w:color="auto" w:fill="FFFFFF"/>
        </w:rPr>
        <w:t> </w:t>
      </w:r>
      <w:r w:rsidRPr="00614487">
        <w:rPr>
          <w:rFonts w:ascii="Century Schoolbook" w:hAnsi="Century Schoolbook"/>
          <w:color w:val="222222"/>
        </w:rPr>
        <w:t xml:space="preserve"> </w:t>
      </w:r>
      <w:r>
        <w:rPr>
          <w:rFonts w:ascii="Century Schoolbook" w:hAnsi="Century Schoolbook"/>
          <w:color w:val="222222"/>
        </w:rPr>
        <w:br/>
      </w:r>
      <w:r>
        <w:rPr>
          <w:rFonts w:ascii="Century Schoolbook" w:hAnsi="Century Schoolbook"/>
          <w:color w:val="222222"/>
        </w:rPr>
        <w:br/>
      </w:r>
    </w:p>
    <w:p w:rsidR="00614487" w:rsidRDefault="00614487" w:rsidP="00B61DCF">
      <w:pPr>
        <w:pStyle w:val="LO-normal"/>
        <w:widowControl w:val="0"/>
        <w:tabs>
          <w:tab w:val="left" w:pos="228"/>
        </w:tabs>
        <w:spacing w:before="8" w:line="240" w:lineRule="auto"/>
        <w:ind w:hanging="2"/>
        <w:rPr>
          <w:rFonts w:ascii="Century Schoolbook" w:hAnsi="Century Schoolbook"/>
          <w:color w:val="222222"/>
          <w:shd w:val="clear" w:color="auto" w:fill="FFFFFF"/>
        </w:rPr>
      </w:pPr>
    </w:p>
    <w:p w:rsidR="00614487" w:rsidRDefault="00614487" w:rsidP="00B61DCF">
      <w:pPr>
        <w:pStyle w:val="LO-normal"/>
        <w:widowControl w:val="0"/>
        <w:tabs>
          <w:tab w:val="left" w:pos="228"/>
        </w:tabs>
        <w:spacing w:before="8" w:line="240" w:lineRule="auto"/>
        <w:ind w:hanging="2"/>
        <w:rPr>
          <w:color w:val="231F20"/>
          <w:sz w:val="16"/>
          <w:szCs w:val="16"/>
        </w:rPr>
      </w:pPr>
    </w:p>
    <w:p w:rsidR="00291B20" w:rsidRDefault="00291B20" w:rsidP="00674617">
      <w:pPr>
        <w:pStyle w:val="LO-normal"/>
        <w:widowControl w:val="0"/>
        <w:spacing w:before="8" w:line="360" w:lineRule="auto"/>
        <w:ind w:right="130"/>
      </w:pPr>
    </w:p>
    <w:sectPr w:rsidR="0029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F"/>
    <w:rsid w:val="000D0B50"/>
    <w:rsid w:val="001D68C7"/>
    <w:rsid w:val="00221ADA"/>
    <w:rsid w:val="00291B20"/>
    <w:rsid w:val="00614487"/>
    <w:rsid w:val="00674617"/>
    <w:rsid w:val="00676908"/>
    <w:rsid w:val="009C131C"/>
    <w:rsid w:val="00B61DCF"/>
    <w:rsid w:val="00E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BD45"/>
  <w15:chartTrackingRefBased/>
  <w15:docId w15:val="{A0FE7291-42F8-4942-B70F-8F8799D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LO-normal"/>
    <w:next w:val="LO-normal"/>
    <w:link w:val="Titre3Car"/>
    <w:qFormat/>
    <w:rsid w:val="00B61DCF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re5">
    <w:name w:val="heading 5"/>
    <w:basedOn w:val="LO-normal"/>
    <w:next w:val="LO-normal"/>
    <w:link w:val="Titre5Car"/>
    <w:qFormat/>
    <w:rsid w:val="00B61DCF"/>
    <w:pPr>
      <w:keepNext/>
      <w:keepLines/>
      <w:spacing w:before="240" w:after="80" w:line="240" w:lineRule="auto"/>
      <w:outlineLvl w:val="4"/>
    </w:pPr>
    <w:rPr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61DCF"/>
    <w:rPr>
      <w:rFonts w:ascii="Arial" w:eastAsia="Arial" w:hAnsi="Arial" w:cs="Arial"/>
      <w:color w:val="434343"/>
      <w:sz w:val="28"/>
      <w:szCs w:val="28"/>
      <w:lang w:eastAsia="zh-CN" w:bidi="hi-IN"/>
    </w:rPr>
  </w:style>
  <w:style w:type="character" w:customStyle="1" w:styleId="Titre5Car">
    <w:name w:val="Titre 5 Car"/>
    <w:basedOn w:val="Policepardfaut"/>
    <w:link w:val="Titre5"/>
    <w:rsid w:val="00B61DCF"/>
    <w:rPr>
      <w:rFonts w:ascii="Arial" w:eastAsia="Arial" w:hAnsi="Arial" w:cs="Arial"/>
      <w:color w:val="666666"/>
      <w:lang w:eastAsia="zh-CN" w:bidi="hi-IN"/>
    </w:rPr>
  </w:style>
  <w:style w:type="paragraph" w:customStyle="1" w:styleId="LO-normal">
    <w:name w:val="LO-normal"/>
    <w:qFormat/>
    <w:rsid w:val="00B61DCF"/>
    <w:pPr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Changements applicables à partir du 11 janvier 2022</vt:lpstr>
      <vt:lpstr>        </vt:lpstr>
    </vt:vector>
  </TitlesOfParts>
  <Company>UJM-IUT Roanne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2021-09-29T14:15:00Z</cp:lastPrinted>
  <dcterms:created xsi:type="dcterms:W3CDTF">2022-01-11T15:05:00Z</dcterms:created>
  <dcterms:modified xsi:type="dcterms:W3CDTF">2022-01-11T15:06:00Z</dcterms:modified>
</cp:coreProperties>
</file>